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CDC079" w14:textId="5AB3196B" w:rsidR="00667F2A" w:rsidRDefault="00667F2A" w:rsidP="00240F83">
      <w:pPr>
        <w:spacing w:after="0"/>
        <w:jc w:val="center"/>
        <w:rPr>
          <w:rFonts w:cstheme="minorHAnsi"/>
          <w:b/>
          <w:sz w:val="22"/>
          <w:lang w:val="en-US"/>
        </w:rPr>
      </w:pPr>
      <w:r>
        <w:rPr>
          <w:rFonts w:cstheme="minorHAnsi"/>
          <w:b/>
          <w:sz w:val="22"/>
          <w:lang w:val="en-US"/>
        </w:rPr>
        <w:t xml:space="preserve">LEGAL </w:t>
      </w:r>
      <w:r w:rsidR="004D3686">
        <w:rPr>
          <w:rFonts w:cstheme="minorHAnsi"/>
          <w:b/>
          <w:sz w:val="22"/>
          <w:lang w:val="en-US"/>
        </w:rPr>
        <w:t>RESOURCES</w:t>
      </w:r>
    </w:p>
    <w:p w14:paraId="3B5DB354" w14:textId="3CD8875E" w:rsidR="0051421D" w:rsidRDefault="0051421D" w:rsidP="009F23DB">
      <w:pPr>
        <w:jc w:val="both"/>
        <w:rPr>
          <w:rFonts w:cstheme="minorHAnsi"/>
          <w:sz w:val="22"/>
          <w:lang w:val="en-US"/>
        </w:rPr>
      </w:pPr>
      <w:r>
        <w:rPr>
          <w:rFonts w:cstheme="minorHAnsi"/>
          <w:b/>
          <w:sz w:val="22"/>
          <w:lang w:val="en-US"/>
        </w:rPr>
        <w:br/>
      </w:r>
      <w:r w:rsidR="00DE4A62" w:rsidRPr="008B738C">
        <w:rPr>
          <w:rFonts w:cstheme="minorHAnsi"/>
          <w:sz w:val="22"/>
          <w:lang w:val="en-US"/>
        </w:rPr>
        <w:t>The</w:t>
      </w:r>
      <w:r w:rsidR="004D3AA4">
        <w:rPr>
          <w:rFonts w:cstheme="minorHAnsi"/>
          <w:sz w:val="22"/>
          <w:lang w:val="en-US"/>
        </w:rPr>
        <w:t xml:space="preserve"> Office of Legal Services at McMaster</w:t>
      </w:r>
      <w:r w:rsidR="00DE4A62" w:rsidRPr="008B738C">
        <w:rPr>
          <w:rFonts w:cstheme="minorHAnsi"/>
          <w:sz w:val="22"/>
          <w:lang w:val="en-US"/>
        </w:rPr>
        <w:t xml:space="preserve"> University often receives inquiries from stu</w:t>
      </w:r>
      <w:r w:rsidR="00C97BE2" w:rsidRPr="008B738C">
        <w:rPr>
          <w:rFonts w:cstheme="minorHAnsi"/>
          <w:sz w:val="22"/>
          <w:lang w:val="en-US"/>
        </w:rPr>
        <w:t>dents with legal questions</w:t>
      </w:r>
      <w:r w:rsidR="004D3AA4">
        <w:rPr>
          <w:rFonts w:cstheme="minorHAnsi"/>
          <w:sz w:val="22"/>
          <w:lang w:val="en-US"/>
        </w:rPr>
        <w:t xml:space="preserve"> of a personal nature. Th</w:t>
      </w:r>
      <w:r w:rsidR="004D3686">
        <w:rPr>
          <w:rFonts w:cstheme="minorHAnsi"/>
          <w:sz w:val="22"/>
          <w:lang w:val="en-US"/>
        </w:rPr>
        <w:t>e following resources</w:t>
      </w:r>
      <w:r w:rsidR="004D3AA4">
        <w:rPr>
          <w:rFonts w:cstheme="minorHAnsi"/>
          <w:sz w:val="22"/>
          <w:lang w:val="en-US"/>
        </w:rPr>
        <w:t xml:space="preserve"> can be used by students </w:t>
      </w:r>
      <w:bookmarkStart w:id="0" w:name="_GoBack"/>
      <w:bookmarkEnd w:id="0"/>
      <w:r w:rsidR="004D3AA4">
        <w:rPr>
          <w:rFonts w:cstheme="minorHAnsi"/>
          <w:sz w:val="22"/>
          <w:lang w:val="en-US"/>
        </w:rPr>
        <w:t xml:space="preserve">for various areas of law, including </w:t>
      </w:r>
      <w:r w:rsidR="007E7913" w:rsidRPr="008B738C">
        <w:rPr>
          <w:rFonts w:cstheme="minorHAnsi"/>
          <w:sz w:val="22"/>
          <w:lang w:val="en-US"/>
        </w:rPr>
        <w:t>l</w:t>
      </w:r>
      <w:r w:rsidR="00DE4A62" w:rsidRPr="008B738C">
        <w:rPr>
          <w:rFonts w:cstheme="minorHAnsi"/>
          <w:sz w:val="22"/>
          <w:lang w:val="en-US"/>
        </w:rPr>
        <w:t>andlord and tenant</w:t>
      </w:r>
      <w:r w:rsidR="007E7913" w:rsidRPr="008B738C">
        <w:rPr>
          <w:rFonts w:cstheme="minorHAnsi"/>
          <w:sz w:val="22"/>
          <w:lang w:val="en-US"/>
        </w:rPr>
        <w:t xml:space="preserve"> matters, p</w:t>
      </w:r>
      <w:r w:rsidR="00420064" w:rsidRPr="008B738C">
        <w:rPr>
          <w:rFonts w:cstheme="minorHAnsi"/>
          <w:sz w:val="22"/>
          <w:lang w:val="en-US"/>
        </w:rPr>
        <w:t>ersonal legal claims</w:t>
      </w:r>
      <w:r w:rsidR="007E7913" w:rsidRPr="008B738C">
        <w:rPr>
          <w:rFonts w:cstheme="minorHAnsi"/>
          <w:sz w:val="22"/>
          <w:lang w:val="en-US"/>
        </w:rPr>
        <w:t>, e</w:t>
      </w:r>
      <w:r w:rsidR="00C97BE2" w:rsidRPr="008B738C">
        <w:rPr>
          <w:rFonts w:cstheme="minorHAnsi"/>
          <w:sz w:val="22"/>
          <w:lang w:val="en-US"/>
        </w:rPr>
        <w:t>mployment law / human rights</w:t>
      </w:r>
      <w:r w:rsidR="007E7913" w:rsidRPr="008B738C">
        <w:rPr>
          <w:rFonts w:cstheme="minorHAnsi"/>
          <w:sz w:val="22"/>
          <w:lang w:val="en-US"/>
        </w:rPr>
        <w:t xml:space="preserve">, </w:t>
      </w:r>
      <w:r w:rsidR="00667F2A">
        <w:rPr>
          <w:rFonts w:cstheme="minorHAnsi"/>
          <w:sz w:val="22"/>
          <w:lang w:val="en-US"/>
        </w:rPr>
        <w:t xml:space="preserve">and </w:t>
      </w:r>
      <w:r w:rsidR="007E7913" w:rsidRPr="008B738C">
        <w:rPr>
          <w:rFonts w:cstheme="minorHAnsi"/>
          <w:sz w:val="22"/>
          <w:lang w:val="en-US"/>
        </w:rPr>
        <w:t>a</w:t>
      </w:r>
      <w:r w:rsidR="00420064" w:rsidRPr="008B738C">
        <w:rPr>
          <w:rFonts w:cstheme="minorHAnsi"/>
          <w:sz w:val="22"/>
          <w:lang w:val="en-US"/>
        </w:rPr>
        <w:t>ccident / insurance</w:t>
      </w:r>
      <w:r w:rsidR="007E7913" w:rsidRPr="008B738C">
        <w:rPr>
          <w:rFonts w:cstheme="minorHAnsi"/>
          <w:sz w:val="22"/>
          <w:lang w:val="en-US"/>
        </w:rPr>
        <w:t>.</w:t>
      </w:r>
      <w:r w:rsidR="004D3AA4">
        <w:rPr>
          <w:rFonts w:cstheme="minorHAnsi"/>
          <w:sz w:val="22"/>
          <w:lang w:val="en-US"/>
        </w:rPr>
        <w:t xml:space="preserve"> </w:t>
      </w:r>
      <w:r>
        <w:rPr>
          <w:rFonts w:cstheme="minorHAnsi"/>
          <w:sz w:val="22"/>
          <w:lang w:val="en-US"/>
        </w:rPr>
        <w:t xml:space="preserve"> For internal matters related to the University, various University policies, procedures and guidelines which are available at the following link: </w:t>
      </w:r>
      <w:hyperlink r:id="rId8" w:history="1">
        <w:r w:rsidR="009F23DB" w:rsidRPr="005E0BFB">
          <w:rPr>
            <w:rStyle w:val="Hyperlink"/>
            <w:rFonts w:cstheme="minorHAnsi"/>
            <w:sz w:val="22"/>
            <w:lang w:val="en-US"/>
          </w:rPr>
          <w:t>https://www.mcmaster.ca/policy/index.html#</w:t>
        </w:r>
      </w:hyperlink>
      <w:r w:rsidR="009F23DB">
        <w:rPr>
          <w:rFonts w:cstheme="minorHAnsi"/>
          <w:sz w:val="22"/>
          <w:lang w:val="en-US"/>
        </w:rPr>
        <w:t xml:space="preserve"> </w:t>
      </w:r>
    </w:p>
    <w:p w14:paraId="14B58166" w14:textId="77777777" w:rsidR="00420064" w:rsidRDefault="004D3AA4" w:rsidP="004D3AA4">
      <w:pPr>
        <w:jc w:val="both"/>
        <w:rPr>
          <w:rFonts w:cstheme="minorHAnsi"/>
          <w:sz w:val="22"/>
          <w:lang w:val="en-US"/>
        </w:rPr>
      </w:pPr>
      <w:r>
        <w:rPr>
          <w:rFonts w:cstheme="minorHAnsi"/>
          <w:sz w:val="22"/>
          <w:lang w:val="en-US"/>
        </w:rPr>
        <w:t>The resources listed below include community legal clinics, government websites, and administrative tribunals.</w:t>
      </w:r>
    </w:p>
    <w:p w14:paraId="1231DE67" w14:textId="77777777" w:rsidR="008B738C" w:rsidRDefault="003C5EE3" w:rsidP="00595547">
      <w:pPr>
        <w:jc w:val="both"/>
        <w:rPr>
          <w:rFonts w:cstheme="minorHAnsi"/>
          <w:b/>
          <w:sz w:val="22"/>
          <w:lang w:val="en-US"/>
        </w:rPr>
      </w:pPr>
      <w:r>
        <w:rPr>
          <w:rFonts w:cstheme="minorHAnsi"/>
          <w:b/>
          <w:sz w:val="22"/>
          <w:lang w:val="en-US"/>
        </w:rPr>
        <w:t>Hamilton Community Legal Clinic</w:t>
      </w:r>
    </w:p>
    <w:p w14:paraId="1E2DDFAD" w14:textId="77777777" w:rsidR="008B738C" w:rsidRPr="008B738C" w:rsidRDefault="008B738C" w:rsidP="00595547">
      <w:pPr>
        <w:jc w:val="both"/>
        <w:rPr>
          <w:rFonts w:cstheme="minorHAnsi"/>
          <w:sz w:val="22"/>
          <w:lang w:val="en-US"/>
        </w:rPr>
      </w:pPr>
      <w:r w:rsidRPr="008B738C">
        <w:rPr>
          <w:rFonts w:cstheme="minorHAnsi"/>
          <w:sz w:val="22"/>
          <w:lang w:val="en-US"/>
        </w:rPr>
        <w:t>100 Main St E</w:t>
      </w:r>
      <w:r>
        <w:rPr>
          <w:rFonts w:cstheme="minorHAnsi"/>
          <w:sz w:val="22"/>
          <w:lang w:val="en-US"/>
        </w:rPr>
        <w:t xml:space="preserve">, </w:t>
      </w:r>
      <w:r w:rsidRPr="008B738C">
        <w:rPr>
          <w:rFonts w:cstheme="minorHAnsi"/>
          <w:sz w:val="22"/>
          <w:lang w:val="en-US"/>
        </w:rPr>
        <w:t>Suite 203 (2nd Floor)</w:t>
      </w:r>
      <w:r>
        <w:rPr>
          <w:rFonts w:cstheme="minorHAnsi"/>
          <w:sz w:val="22"/>
          <w:lang w:val="en-US"/>
        </w:rPr>
        <w:t xml:space="preserve"> </w:t>
      </w:r>
      <w:r w:rsidRPr="008B738C">
        <w:rPr>
          <w:rFonts w:cstheme="minorHAnsi"/>
          <w:sz w:val="22"/>
          <w:lang w:val="en-US"/>
        </w:rPr>
        <w:t>Hamilton, ON L8N 3W4</w:t>
      </w:r>
      <w:r>
        <w:rPr>
          <w:rFonts w:cstheme="minorHAnsi"/>
          <w:sz w:val="22"/>
          <w:lang w:val="en-US"/>
        </w:rPr>
        <w:t>, p</w:t>
      </w:r>
      <w:r w:rsidRPr="008B738C">
        <w:rPr>
          <w:rFonts w:cstheme="minorHAnsi"/>
          <w:sz w:val="22"/>
          <w:lang w:val="en-US"/>
        </w:rPr>
        <w:t>hone: 905-527-4572</w:t>
      </w:r>
    </w:p>
    <w:p w14:paraId="60EAA38C" w14:textId="77777777" w:rsidR="008B738C" w:rsidRDefault="009C38A5" w:rsidP="00595547">
      <w:pPr>
        <w:jc w:val="both"/>
        <w:rPr>
          <w:rFonts w:cstheme="minorHAnsi"/>
          <w:sz w:val="22"/>
          <w:lang w:val="en-US"/>
        </w:rPr>
      </w:pPr>
      <w:hyperlink r:id="rId9" w:history="1">
        <w:r w:rsidR="008B738C" w:rsidRPr="008B738C">
          <w:rPr>
            <w:rStyle w:val="Hyperlink"/>
            <w:rFonts w:cstheme="minorHAnsi"/>
            <w:sz w:val="22"/>
            <w:lang w:val="en-US"/>
          </w:rPr>
          <w:t>https://www.hamiltonjustice.ca/index2</w:t>
        </w:r>
      </w:hyperlink>
    </w:p>
    <w:p w14:paraId="24911870" w14:textId="77777777" w:rsidR="008B738C" w:rsidRDefault="003C5EE3" w:rsidP="00595547">
      <w:pPr>
        <w:jc w:val="both"/>
        <w:rPr>
          <w:rFonts w:cstheme="minorHAnsi"/>
          <w:sz w:val="22"/>
          <w:lang w:val="en-US"/>
        </w:rPr>
      </w:pPr>
      <w:r w:rsidRPr="003C5EE3">
        <w:rPr>
          <w:rFonts w:cstheme="minorHAnsi"/>
          <w:i/>
          <w:sz w:val="22"/>
          <w:lang w:val="en-US"/>
        </w:rPr>
        <w:t>Eligibility</w:t>
      </w:r>
      <w:r>
        <w:rPr>
          <w:rFonts w:cstheme="minorHAnsi"/>
          <w:sz w:val="22"/>
          <w:lang w:val="en-US"/>
        </w:rPr>
        <w:t xml:space="preserve">: The Clinic will provide legal advice </w:t>
      </w:r>
      <w:r w:rsidR="00F15E72">
        <w:rPr>
          <w:rFonts w:cstheme="minorHAnsi"/>
          <w:sz w:val="22"/>
          <w:lang w:val="en-US"/>
        </w:rPr>
        <w:t>over the phone or f</w:t>
      </w:r>
      <w:r>
        <w:rPr>
          <w:rFonts w:cstheme="minorHAnsi"/>
          <w:sz w:val="22"/>
          <w:lang w:val="en-US"/>
        </w:rPr>
        <w:t xml:space="preserve">or walk in inquiries for the areas of law listed below.  In order to represent an individual, there is financial criteria that must be met. The services of the Clinic are focused on those individuals who may not otherwise be able to afford legal representation. </w:t>
      </w:r>
    </w:p>
    <w:p w14:paraId="6D634DB6" w14:textId="77777777" w:rsidR="008B738C" w:rsidRPr="008B738C" w:rsidRDefault="003C5EE3" w:rsidP="00595547">
      <w:pPr>
        <w:jc w:val="both"/>
        <w:rPr>
          <w:rFonts w:cstheme="minorHAnsi"/>
          <w:sz w:val="22"/>
          <w:lang w:val="en-US"/>
        </w:rPr>
      </w:pPr>
      <w:r w:rsidRPr="00F15E72">
        <w:rPr>
          <w:rFonts w:cstheme="minorHAnsi"/>
          <w:i/>
          <w:sz w:val="22"/>
          <w:lang w:val="en-US"/>
        </w:rPr>
        <w:t>Areas of Law</w:t>
      </w:r>
      <w:r>
        <w:rPr>
          <w:rFonts w:cstheme="minorHAnsi"/>
          <w:sz w:val="22"/>
          <w:lang w:val="en-US"/>
        </w:rPr>
        <w:t xml:space="preserve">: Tenant rights, Ontario Works, </w:t>
      </w:r>
      <w:r w:rsidR="008B738C" w:rsidRPr="008B738C">
        <w:rPr>
          <w:rFonts w:cstheme="minorHAnsi"/>
          <w:sz w:val="22"/>
          <w:lang w:val="en-US"/>
        </w:rPr>
        <w:t>Ontario Di</w:t>
      </w:r>
      <w:r>
        <w:rPr>
          <w:rFonts w:cstheme="minorHAnsi"/>
          <w:sz w:val="22"/>
          <w:lang w:val="en-US"/>
        </w:rPr>
        <w:t xml:space="preserve">sability Support Program, </w:t>
      </w:r>
      <w:r w:rsidR="008B738C" w:rsidRPr="008B738C">
        <w:rPr>
          <w:rFonts w:cstheme="minorHAnsi"/>
          <w:sz w:val="22"/>
          <w:lang w:val="en-US"/>
        </w:rPr>
        <w:t>Canad</w:t>
      </w:r>
      <w:r>
        <w:rPr>
          <w:rFonts w:cstheme="minorHAnsi"/>
          <w:sz w:val="22"/>
          <w:lang w:val="en-US"/>
        </w:rPr>
        <w:t xml:space="preserve">a Pension Plan, </w:t>
      </w:r>
      <w:r w:rsidR="008B738C" w:rsidRPr="008B738C">
        <w:rPr>
          <w:rFonts w:cstheme="minorHAnsi"/>
          <w:sz w:val="22"/>
          <w:lang w:val="en-US"/>
        </w:rPr>
        <w:t>Employment Insura</w:t>
      </w:r>
      <w:r>
        <w:rPr>
          <w:rFonts w:cstheme="minorHAnsi"/>
          <w:sz w:val="22"/>
          <w:lang w:val="en-US"/>
        </w:rPr>
        <w:t xml:space="preserve">nce, </w:t>
      </w:r>
      <w:r w:rsidR="008B738C" w:rsidRPr="008B738C">
        <w:rPr>
          <w:rFonts w:cstheme="minorHAnsi"/>
          <w:sz w:val="22"/>
          <w:lang w:val="en-US"/>
        </w:rPr>
        <w:t>Criminal In</w:t>
      </w:r>
      <w:r>
        <w:rPr>
          <w:rFonts w:cstheme="minorHAnsi"/>
          <w:sz w:val="22"/>
          <w:lang w:val="en-US"/>
        </w:rPr>
        <w:t xml:space="preserve">juries Compensation Board, </w:t>
      </w:r>
      <w:r w:rsidR="00595547">
        <w:rPr>
          <w:rFonts w:cstheme="minorHAnsi"/>
          <w:sz w:val="22"/>
          <w:lang w:val="en-US"/>
        </w:rPr>
        <w:t xml:space="preserve">human rights </w:t>
      </w:r>
      <w:proofErr w:type="gramStart"/>
      <w:r w:rsidR="00595547">
        <w:rPr>
          <w:rFonts w:cstheme="minorHAnsi"/>
          <w:sz w:val="22"/>
          <w:lang w:val="en-US"/>
        </w:rPr>
        <w:t>matters</w:t>
      </w:r>
      <w:proofErr w:type="gramEnd"/>
      <w:r w:rsidR="00595547">
        <w:rPr>
          <w:rFonts w:cstheme="minorHAnsi"/>
          <w:sz w:val="22"/>
          <w:lang w:val="en-US"/>
        </w:rPr>
        <w:t xml:space="preserve"> within mandate, affidavits</w:t>
      </w:r>
      <w:r w:rsidR="00F15E72">
        <w:rPr>
          <w:rFonts w:cstheme="minorHAnsi"/>
          <w:sz w:val="22"/>
          <w:lang w:val="en-US"/>
        </w:rPr>
        <w:t xml:space="preserve">, notarial services and wills. </w:t>
      </w:r>
      <w:r w:rsidR="00595547">
        <w:rPr>
          <w:rFonts w:cstheme="minorHAnsi"/>
          <w:sz w:val="22"/>
          <w:lang w:val="en-US"/>
        </w:rPr>
        <w:t xml:space="preserve">Matters such as employment standards and consumer protection are by referral only.  </w:t>
      </w:r>
    </w:p>
    <w:p w14:paraId="15A934D5" w14:textId="77777777" w:rsidR="008B738C" w:rsidRDefault="008B738C" w:rsidP="00595547">
      <w:pPr>
        <w:jc w:val="both"/>
        <w:rPr>
          <w:rFonts w:cstheme="minorHAnsi"/>
          <w:b/>
          <w:sz w:val="22"/>
          <w:lang w:val="en-US"/>
        </w:rPr>
      </w:pPr>
      <w:r>
        <w:rPr>
          <w:rFonts w:cstheme="minorHAnsi"/>
          <w:b/>
          <w:sz w:val="22"/>
          <w:lang w:val="en-US"/>
        </w:rPr>
        <w:t>Landlord &amp; Tenant Board</w:t>
      </w:r>
    </w:p>
    <w:p w14:paraId="175C90A5" w14:textId="77777777" w:rsidR="008B738C" w:rsidRPr="008B738C" w:rsidRDefault="009C38A5" w:rsidP="00595547">
      <w:pPr>
        <w:jc w:val="both"/>
        <w:rPr>
          <w:rFonts w:cstheme="minorHAnsi"/>
          <w:sz w:val="22"/>
          <w:lang w:val="en-US"/>
        </w:rPr>
      </w:pPr>
      <w:hyperlink r:id="rId10" w:history="1">
        <w:r w:rsidR="008B738C" w:rsidRPr="008B738C">
          <w:rPr>
            <w:rStyle w:val="Hyperlink"/>
            <w:rFonts w:cstheme="minorHAnsi"/>
            <w:sz w:val="22"/>
            <w:lang w:val="en-US"/>
          </w:rPr>
          <w:t>http://www.sjto.gov.on.ca/ltb/contact/</w:t>
        </w:r>
      </w:hyperlink>
    </w:p>
    <w:p w14:paraId="5525C56F" w14:textId="77777777" w:rsidR="008B738C" w:rsidRPr="008B738C" w:rsidRDefault="008B738C" w:rsidP="00595547">
      <w:pPr>
        <w:jc w:val="both"/>
        <w:rPr>
          <w:rFonts w:cstheme="minorHAnsi"/>
          <w:sz w:val="22"/>
          <w:lang w:val="en-US"/>
        </w:rPr>
      </w:pPr>
      <w:r w:rsidRPr="008B738C">
        <w:rPr>
          <w:rFonts w:cstheme="minorHAnsi"/>
          <w:sz w:val="22"/>
          <w:lang w:val="en-US"/>
        </w:rPr>
        <w:t xml:space="preserve">The </w:t>
      </w:r>
      <w:r w:rsidR="00595547">
        <w:rPr>
          <w:rFonts w:cstheme="minorHAnsi"/>
          <w:sz w:val="22"/>
          <w:lang w:val="en-US"/>
        </w:rPr>
        <w:t>role of the Landlord and Tenant Board is to</w:t>
      </w:r>
      <w:r w:rsidRPr="008B738C">
        <w:rPr>
          <w:rFonts w:cstheme="minorHAnsi"/>
          <w:sz w:val="22"/>
          <w:lang w:val="en-US"/>
        </w:rPr>
        <w:t>:</w:t>
      </w:r>
    </w:p>
    <w:p w14:paraId="251415B5" w14:textId="77777777" w:rsidR="00595547" w:rsidRPr="00595547" w:rsidRDefault="00595547" w:rsidP="00595547">
      <w:pPr>
        <w:pStyle w:val="ListParagraph"/>
        <w:numPr>
          <w:ilvl w:val="0"/>
          <w:numId w:val="5"/>
        </w:numPr>
        <w:jc w:val="both"/>
        <w:rPr>
          <w:rFonts w:cstheme="minorHAnsi"/>
          <w:sz w:val="22"/>
          <w:lang w:val="en-US"/>
        </w:rPr>
      </w:pPr>
      <w:r w:rsidRPr="00595547">
        <w:rPr>
          <w:rFonts w:cstheme="minorHAnsi"/>
          <w:sz w:val="22"/>
          <w:lang w:val="en-US"/>
        </w:rPr>
        <w:t>resolve disputes between landlords and tenants through mediation or adjudication</w:t>
      </w:r>
    </w:p>
    <w:p w14:paraId="0E918731" w14:textId="77777777" w:rsidR="00595547" w:rsidRPr="00595547" w:rsidRDefault="00595547" w:rsidP="00595547">
      <w:pPr>
        <w:pStyle w:val="ListParagraph"/>
        <w:numPr>
          <w:ilvl w:val="0"/>
          <w:numId w:val="5"/>
        </w:numPr>
        <w:jc w:val="both"/>
        <w:rPr>
          <w:rFonts w:cstheme="minorHAnsi"/>
          <w:sz w:val="22"/>
          <w:lang w:val="en-US"/>
        </w:rPr>
      </w:pPr>
      <w:r w:rsidRPr="00595547">
        <w:rPr>
          <w:rFonts w:cstheme="minorHAnsi"/>
          <w:sz w:val="22"/>
          <w:lang w:val="en-US"/>
        </w:rPr>
        <w:t>resolve eviction applications from co-ops</w:t>
      </w:r>
    </w:p>
    <w:p w14:paraId="7FFC0C62" w14:textId="77777777" w:rsidR="00595547" w:rsidRPr="00595547" w:rsidRDefault="00595547" w:rsidP="00595547">
      <w:pPr>
        <w:pStyle w:val="ListParagraph"/>
        <w:numPr>
          <w:ilvl w:val="0"/>
          <w:numId w:val="5"/>
        </w:numPr>
        <w:jc w:val="both"/>
        <w:rPr>
          <w:rFonts w:cstheme="minorHAnsi"/>
          <w:sz w:val="22"/>
          <w:lang w:val="en-US"/>
        </w:rPr>
      </w:pPr>
      <w:r w:rsidRPr="00595547">
        <w:rPr>
          <w:rFonts w:cstheme="minorHAnsi"/>
          <w:sz w:val="22"/>
          <w:lang w:val="en-US"/>
        </w:rPr>
        <w:t xml:space="preserve">provide information to landlords and tenants about their rights and responsibilities </w:t>
      </w:r>
    </w:p>
    <w:p w14:paraId="0374048A" w14:textId="77777777" w:rsidR="008B738C" w:rsidRPr="008B738C" w:rsidRDefault="008B738C" w:rsidP="00595547">
      <w:pPr>
        <w:jc w:val="both"/>
        <w:rPr>
          <w:rFonts w:cstheme="minorHAnsi"/>
          <w:sz w:val="22"/>
          <w:lang w:val="en-US"/>
        </w:rPr>
      </w:pPr>
      <w:r>
        <w:rPr>
          <w:rFonts w:cstheme="minorHAnsi"/>
          <w:sz w:val="22"/>
          <w:lang w:val="en-US"/>
        </w:rPr>
        <w:t>The</w:t>
      </w:r>
      <w:r w:rsidR="00595547">
        <w:rPr>
          <w:rFonts w:cstheme="minorHAnsi"/>
          <w:sz w:val="22"/>
          <w:lang w:val="en-US"/>
        </w:rPr>
        <w:t xml:space="preserve"> Landlord &amp; Tenant Board</w:t>
      </w:r>
      <w:r>
        <w:rPr>
          <w:rFonts w:cstheme="minorHAnsi"/>
          <w:sz w:val="22"/>
          <w:lang w:val="en-US"/>
        </w:rPr>
        <w:t xml:space="preserve"> website contains information on the rights and responsibilities of landlords and tenants under the </w:t>
      </w:r>
      <w:r w:rsidRPr="00595547">
        <w:rPr>
          <w:rFonts w:cstheme="minorHAnsi"/>
          <w:i/>
          <w:sz w:val="22"/>
          <w:lang w:val="en-US"/>
        </w:rPr>
        <w:t>Residential Tenancies Act</w:t>
      </w:r>
      <w:r>
        <w:rPr>
          <w:rFonts w:cstheme="minorHAnsi"/>
          <w:sz w:val="22"/>
          <w:lang w:val="en-US"/>
        </w:rPr>
        <w:t xml:space="preserve"> and contains information on </w:t>
      </w:r>
      <w:r w:rsidRPr="008B738C">
        <w:rPr>
          <w:rFonts w:cstheme="minorHAnsi"/>
          <w:sz w:val="22"/>
          <w:lang w:val="en-US"/>
        </w:rPr>
        <w:t>practices and procedures.</w:t>
      </w:r>
      <w:r w:rsidR="00595547">
        <w:rPr>
          <w:rFonts w:cstheme="minorHAnsi"/>
          <w:sz w:val="22"/>
          <w:lang w:val="en-US"/>
        </w:rPr>
        <w:t xml:space="preserve">  Applications can be filed for </w:t>
      </w:r>
      <w:proofErr w:type="gramStart"/>
      <w:r w:rsidR="00595547">
        <w:rPr>
          <w:rFonts w:cstheme="minorHAnsi"/>
          <w:sz w:val="22"/>
          <w:lang w:val="en-US"/>
        </w:rPr>
        <w:t>a numb</w:t>
      </w:r>
      <w:r w:rsidR="00F15E72">
        <w:rPr>
          <w:rFonts w:cstheme="minorHAnsi"/>
          <w:sz w:val="22"/>
          <w:lang w:val="en-US"/>
        </w:rPr>
        <w:t>er of</w:t>
      </w:r>
      <w:proofErr w:type="gramEnd"/>
      <w:r w:rsidR="00F15E72">
        <w:rPr>
          <w:rFonts w:cstheme="minorHAnsi"/>
          <w:sz w:val="22"/>
          <w:lang w:val="en-US"/>
        </w:rPr>
        <w:t xml:space="preserve"> different types of landlord and tenant matters</w:t>
      </w:r>
      <w:r w:rsidR="00595547">
        <w:rPr>
          <w:rFonts w:cstheme="minorHAnsi"/>
          <w:sz w:val="22"/>
          <w:lang w:val="en-US"/>
        </w:rPr>
        <w:t xml:space="preserve">. </w:t>
      </w:r>
    </w:p>
    <w:p w14:paraId="14DEDC35" w14:textId="77777777" w:rsidR="00160135" w:rsidRPr="008B738C" w:rsidRDefault="00160135" w:rsidP="00DE4A62">
      <w:pPr>
        <w:rPr>
          <w:rFonts w:cstheme="minorHAnsi"/>
          <w:b/>
          <w:sz w:val="22"/>
          <w:lang w:val="en-US"/>
        </w:rPr>
      </w:pPr>
      <w:r w:rsidRPr="008B738C">
        <w:rPr>
          <w:rFonts w:cstheme="minorHAnsi"/>
          <w:b/>
          <w:sz w:val="22"/>
          <w:lang w:val="en-US"/>
        </w:rPr>
        <w:t xml:space="preserve">Ministry of </w:t>
      </w:r>
      <w:proofErr w:type="spellStart"/>
      <w:r w:rsidRPr="008B738C">
        <w:rPr>
          <w:rFonts w:cstheme="minorHAnsi"/>
          <w:b/>
          <w:sz w:val="22"/>
          <w:lang w:val="en-US"/>
        </w:rPr>
        <w:t>Labour</w:t>
      </w:r>
      <w:proofErr w:type="spellEnd"/>
      <w:r w:rsidRPr="008B738C">
        <w:rPr>
          <w:rFonts w:cstheme="minorHAnsi"/>
          <w:b/>
          <w:sz w:val="22"/>
          <w:lang w:val="en-US"/>
        </w:rPr>
        <w:t xml:space="preserve"> – Employment Standards</w:t>
      </w:r>
    </w:p>
    <w:p w14:paraId="44B287F7" w14:textId="77777777" w:rsidR="00F26E84" w:rsidRDefault="009C38A5" w:rsidP="00F26E84">
      <w:pPr>
        <w:rPr>
          <w:rFonts w:cstheme="minorHAnsi"/>
          <w:sz w:val="22"/>
          <w:lang w:val="en-US"/>
        </w:rPr>
      </w:pPr>
      <w:hyperlink r:id="rId11" w:history="1">
        <w:r w:rsidR="00A15103" w:rsidRPr="00E622C6">
          <w:rPr>
            <w:rStyle w:val="Hyperlink"/>
            <w:rFonts w:cstheme="minorHAnsi"/>
            <w:sz w:val="22"/>
            <w:lang w:val="en-US"/>
          </w:rPr>
          <w:t>https://www.labour.gov.on.ca/english/es/index.php</w:t>
        </w:r>
      </w:hyperlink>
    </w:p>
    <w:p w14:paraId="1016D6BD" w14:textId="77777777" w:rsidR="00A15103" w:rsidRDefault="00A15103" w:rsidP="00A15103">
      <w:pPr>
        <w:rPr>
          <w:rFonts w:cstheme="minorHAnsi"/>
          <w:sz w:val="22"/>
          <w:lang w:val="en-US"/>
        </w:rPr>
      </w:pPr>
      <w:r>
        <w:rPr>
          <w:rFonts w:cstheme="minorHAnsi"/>
          <w:sz w:val="22"/>
          <w:lang w:val="en-US"/>
        </w:rPr>
        <w:t xml:space="preserve">Employment Standards Information Centre: </w:t>
      </w:r>
      <w:r w:rsidR="00E33A96" w:rsidRPr="00E33A96">
        <w:rPr>
          <w:rFonts w:cstheme="minorHAnsi"/>
          <w:sz w:val="22"/>
          <w:lang w:val="en-US"/>
        </w:rPr>
        <w:t>1-800-531-5551</w:t>
      </w:r>
    </w:p>
    <w:p w14:paraId="5738D97D" w14:textId="77777777" w:rsidR="00A15103" w:rsidRDefault="00160135" w:rsidP="009F23DB">
      <w:pPr>
        <w:jc w:val="both"/>
        <w:rPr>
          <w:rFonts w:cstheme="minorHAnsi"/>
          <w:sz w:val="22"/>
          <w:lang w:val="en-US"/>
        </w:rPr>
      </w:pPr>
      <w:r w:rsidRPr="008B738C">
        <w:rPr>
          <w:rFonts w:cstheme="minorHAnsi"/>
          <w:sz w:val="22"/>
          <w:lang w:val="en-US"/>
        </w:rPr>
        <w:t xml:space="preserve">The </w:t>
      </w:r>
      <w:r w:rsidRPr="00A15103">
        <w:rPr>
          <w:rFonts w:cstheme="minorHAnsi"/>
          <w:i/>
          <w:sz w:val="22"/>
          <w:lang w:val="en-US"/>
        </w:rPr>
        <w:t>Employment Standards Act</w:t>
      </w:r>
      <w:r w:rsidRPr="008B738C">
        <w:rPr>
          <w:rFonts w:cstheme="minorHAnsi"/>
          <w:sz w:val="22"/>
          <w:lang w:val="en-US"/>
        </w:rPr>
        <w:t>, 2000 (</w:t>
      </w:r>
      <w:r w:rsidR="00A15103">
        <w:rPr>
          <w:rFonts w:cstheme="minorHAnsi"/>
          <w:sz w:val="22"/>
          <w:lang w:val="en-US"/>
        </w:rPr>
        <w:t>“</w:t>
      </w:r>
      <w:r w:rsidRPr="008B738C">
        <w:rPr>
          <w:rFonts w:cstheme="minorHAnsi"/>
          <w:sz w:val="22"/>
          <w:lang w:val="en-US"/>
        </w:rPr>
        <w:t>ESA</w:t>
      </w:r>
      <w:r w:rsidR="00A15103">
        <w:rPr>
          <w:rFonts w:cstheme="minorHAnsi"/>
          <w:sz w:val="22"/>
          <w:lang w:val="en-US"/>
        </w:rPr>
        <w:t>”</w:t>
      </w:r>
      <w:r w:rsidR="00F05851">
        <w:rPr>
          <w:rFonts w:cstheme="minorHAnsi"/>
          <w:sz w:val="22"/>
          <w:lang w:val="en-US"/>
        </w:rPr>
        <w:t>) provides minimum standards for many</w:t>
      </w:r>
      <w:r w:rsidRPr="008B738C">
        <w:rPr>
          <w:rFonts w:cstheme="minorHAnsi"/>
          <w:sz w:val="22"/>
          <w:lang w:val="en-US"/>
        </w:rPr>
        <w:t xml:space="preserve"> employees working in Ontario. It sets out the rights and responsibilities of employees and employers in most Ontario workplaces.</w:t>
      </w:r>
      <w:r w:rsidR="009F23DB">
        <w:rPr>
          <w:rFonts w:cstheme="minorHAnsi"/>
          <w:sz w:val="22"/>
          <w:lang w:val="en-US"/>
        </w:rPr>
        <w:t xml:space="preserve"> </w:t>
      </w:r>
      <w:r w:rsidRPr="008B738C">
        <w:rPr>
          <w:rFonts w:cstheme="minorHAnsi"/>
          <w:sz w:val="22"/>
          <w:lang w:val="en-US"/>
        </w:rPr>
        <w:t xml:space="preserve">The ESA covers a wide range of employment standards </w:t>
      </w:r>
      <w:proofErr w:type="gramStart"/>
      <w:r w:rsidRPr="008B738C">
        <w:rPr>
          <w:rFonts w:cstheme="minorHAnsi"/>
          <w:sz w:val="22"/>
          <w:lang w:val="en-US"/>
        </w:rPr>
        <w:t>including:</w:t>
      </w:r>
      <w:proofErr w:type="gramEnd"/>
      <w:r w:rsidR="00A15103">
        <w:rPr>
          <w:rFonts w:cstheme="minorHAnsi"/>
          <w:sz w:val="22"/>
          <w:lang w:val="en-US"/>
        </w:rPr>
        <w:t xml:space="preserve"> hours of work, eating and rest periods, payment of wages, overtime pay, leaves of absence, public </w:t>
      </w:r>
      <w:r w:rsidR="00A15103">
        <w:rPr>
          <w:rFonts w:cstheme="minorHAnsi"/>
          <w:sz w:val="22"/>
          <w:lang w:val="en-US"/>
        </w:rPr>
        <w:lastRenderedPageBreak/>
        <w:t xml:space="preserve">holidays, vacation, termination pay, equal pay for equal work, and temporary help agencies.  Additional information on employment standards is located on the Employment Standards website.  The Ministry of </w:t>
      </w:r>
      <w:proofErr w:type="spellStart"/>
      <w:r w:rsidR="00A15103">
        <w:rPr>
          <w:rFonts w:cstheme="minorHAnsi"/>
          <w:sz w:val="22"/>
          <w:lang w:val="en-US"/>
        </w:rPr>
        <w:t>Labour</w:t>
      </w:r>
      <w:proofErr w:type="spellEnd"/>
      <w:r w:rsidR="00A15103">
        <w:rPr>
          <w:rFonts w:cstheme="minorHAnsi"/>
          <w:sz w:val="22"/>
          <w:lang w:val="en-US"/>
        </w:rPr>
        <w:t xml:space="preserve"> becomes involved in both enforcement and compliance matters.  A process for resolving complaints is available on the website. </w:t>
      </w:r>
    </w:p>
    <w:p w14:paraId="3AFC7F88" w14:textId="77777777" w:rsidR="00160135" w:rsidRPr="008B738C" w:rsidRDefault="00160135" w:rsidP="00DE4A62">
      <w:pPr>
        <w:rPr>
          <w:rFonts w:cstheme="minorHAnsi"/>
          <w:b/>
          <w:sz w:val="22"/>
          <w:lang w:val="en-US"/>
        </w:rPr>
      </w:pPr>
      <w:r w:rsidRPr="008B738C">
        <w:rPr>
          <w:rFonts w:cstheme="minorHAnsi"/>
          <w:b/>
          <w:sz w:val="22"/>
          <w:lang w:val="en-US"/>
        </w:rPr>
        <w:t xml:space="preserve">Ministry of </w:t>
      </w:r>
      <w:proofErr w:type="spellStart"/>
      <w:r w:rsidRPr="008B738C">
        <w:rPr>
          <w:rFonts w:cstheme="minorHAnsi"/>
          <w:b/>
          <w:sz w:val="22"/>
          <w:lang w:val="en-US"/>
        </w:rPr>
        <w:t>Labour</w:t>
      </w:r>
      <w:proofErr w:type="spellEnd"/>
      <w:r w:rsidRPr="008B738C">
        <w:rPr>
          <w:rFonts w:cstheme="minorHAnsi"/>
          <w:b/>
          <w:sz w:val="22"/>
          <w:lang w:val="en-US"/>
        </w:rPr>
        <w:t xml:space="preserve"> – Health and Safety</w:t>
      </w:r>
    </w:p>
    <w:p w14:paraId="03B54633" w14:textId="77777777" w:rsidR="00B93629" w:rsidRDefault="009C38A5" w:rsidP="00B93629">
      <w:pPr>
        <w:rPr>
          <w:rFonts w:cstheme="minorHAnsi"/>
          <w:sz w:val="22"/>
          <w:lang w:val="en-US"/>
        </w:rPr>
      </w:pPr>
      <w:hyperlink r:id="rId12" w:history="1">
        <w:r w:rsidR="00F05851" w:rsidRPr="00E622C6">
          <w:rPr>
            <w:rStyle w:val="Hyperlink"/>
            <w:rFonts w:cstheme="minorHAnsi"/>
            <w:sz w:val="22"/>
            <w:lang w:val="en-US"/>
          </w:rPr>
          <w:t>https://www.labour.gov.on.ca/english/hs/</w:t>
        </w:r>
      </w:hyperlink>
    </w:p>
    <w:p w14:paraId="5C52B212" w14:textId="77777777" w:rsidR="00E33A96" w:rsidRDefault="00E33A96" w:rsidP="00B93629">
      <w:pPr>
        <w:rPr>
          <w:rFonts w:cstheme="minorHAnsi"/>
          <w:sz w:val="22"/>
          <w:lang w:val="en-US"/>
        </w:rPr>
      </w:pPr>
      <w:r w:rsidRPr="00E33A96">
        <w:rPr>
          <w:rFonts w:cstheme="minorHAnsi"/>
          <w:sz w:val="22"/>
          <w:lang w:val="en-US"/>
        </w:rPr>
        <w:t xml:space="preserve">Ministry of </w:t>
      </w:r>
      <w:proofErr w:type="spellStart"/>
      <w:r w:rsidRPr="00E33A96">
        <w:rPr>
          <w:rFonts w:cstheme="minorHAnsi"/>
          <w:sz w:val="22"/>
          <w:lang w:val="en-US"/>
        </w:rPr>
        <w:t>Labour</w:t>
      </w:r>
      <w:proofErr w:type="spellEnd"/>
      <w:r w:rsidRPr="00E33A96">
        <w:rPr>
          <w:rFonts w:cstheme="minorHAnsi"/>
          <w:sz w:val="22"/>
          <w:lang w:val="en-US"/>
        </w:rPr>
        <w:t xml:space="preserve"> Health &amp; Safety Contact Centre: 1-877-202-0008</w:t>
      </w:r>
    </w:p>
    <w:p w14:paraId="6B86486F" w14:textId="77777777" w:rsidR="00F05851" w:rsidRPr="008B738C" w:rsidRDefault="00E33A96" w:rsidP="00B93629">
      <w:pPr>
        <w:rPr>
          <w:rFonts w:cstheme="minorHAnsi"/>
          <w:sz w:val="22"/>
          <w:lang w:val="en-US"/>
        </w:rPr>
      </w:pPr>
      <w:r>
        <w:rPr>
          <w:rFonts w:cstheme="minorHAnsi"/>
          <w:sz w:val="22"/>
          <w:lang w:val="en-US"/>
        </w:rPr>
        <w:t xml:space="preserve">The Ministry of </w:t>
      </w:r>
      <w:proofErr w:type="spellStart"/>
      <w:r>
        <w:rPr>
          <w:rFonts w:cstheme="minorHAnsi"/>
          <w:sz w:val="22"/>
          <w:lang w:val="en-US"/>
        </w:rPr>
        <w:t>Labour</w:t>
      </w:r>
      <w:proofErr w:type="spellEnd"/>
      <w:r>
        <w:rPr>
          <w:rFonts w:cstheme="minorHAnsi"/>
          <w:sz w:val="22"/>
          <w:lang w:val="en-US"/>
        </w:rPr>
        <w:t xml:space="preserve"> has a health and safety division which focuses on preventing work-related injury and illness in the workplace. Information </w:t>
      </w:r>
      <w:r w:rsidR="00F15E72">
        <w:rPr>
          <w:rFonts w:cstheme="minorHAnsi"/>
          <w:sz w:val="22"/>
          <w:lang w:val="en-US"/>
        </w:rPr>
        <w:t xml:space="preserve">regarding health and safety </w:t>
      </w:r>
      <w:r>
        <w:rPr>
          <w:rFonts w:cstheme="minorHAnsi"/>
          <w:sz w:val="22"/>
          <w:lang w:val="en-US"/>
        </w:rPr>
        <w:t xml:space="preserve">is available on the Ministry’s website and workplace incidents can also be reported to the Ministry.  </w:t>
      </w:r>
    </w:p>
    <w:p w14:paraId="1995B9BF" w14:textId="77777777" w:rsidR="00F26E84" w:rsidRPr="008B738C" w:rsidRDefault="000968F7" w:rsidP="00B93629">
      <w:pPr>
        <w:rPr>
          <w:rFonts w:cstheme="minorHAnsi"/>
          <w:b/>
          <w:sz w:val="22"/>
          <w:lang w:val="en-US"/>
        </w:rPr>
      </w:pPr>
      <w:r w:rsidRPr="008B738C">
        <w:rPr>
          <w:rFonts w:cstheme="minorHAnsi"/>
          <w:b/>
          <w:sz w:val="22"/>
          <w:lang w:val="en-US"/>
        </w:rPr>
        <w:t>Human Rights</w:t>
      </w:r>
    </w:p>
    <w:p w14:paraId="20038BC3" w14:textId="77777777" w:rsidR="000968F7" w:rsidRDefault="009C38A5" w:rsidP="00B93629">
      <w:pPr>
        <w:rPr>
          <w:rFonts w:cstheme="minorHAnsi"/>
          <w:sz w:val="22"/>
          <w:lang w:val="en-US"/>
        </w:rPr>
      </w:pPr>
      <w:hyperlink r:id="rId13" w:history="1">
        <w:r w:rsidR="00336AF2" w:rsidRPr="00E622C6">
          <w:rPr>
            <w:rStyle w:val="Hyperlink"/>
            <w:rFonts w:cstheme="minorHAnsi"/>
            <w:sz w:val="22"/>
            <w:lang w:val="en-US"/>
          </w:rPr>
          <w:t>http://ohrc.on.ca/en</w:t>
        </w:r>
      </w:hyperlink>
    </w:p>
    <w:p w14:paraId="4315743B" w14:textId="77777777" w:rsidR="009F23DB" w:rsidRDefault="007F0A4B" w:rsidP="009F23DB">
      <w:pPr>
        <w:jc w:val="both"/>
        <w:rPr>
          <w:rFonts w:cstheme="minorHAnsi"/>
          <w:sz w:val="22"/>
          <w:lang w:val="en-US"/>
        </w:rPr>
      </w:pPr>
      <w:r>
        <w:rPr>
          <w:rFonts w:cstheme="minorHAnsi"/>
          <w:sz w:val="22"/>
          <w:lang w:val="en-US"/>
        </w:rPr>
        <w:t xml:space="preserve">The website for the Human Rights Commission of Ontario contains </w:t>
      </w:r>
      <w:r w:rsidR="00E33A96">
        <w:rPr>
          <w:rFonts w:cstheme="minorHAnsi"/>
          <w:sz w:val="22"/>
          <w:lang w:val="en-US"/>
        </w:rPr>
        <w:t xml:space="preserve">educational materials and webinars relating to the protected grounds under the Human Rights Code relating to the protected social areas. </w:t>
      </w:r>
      <w:r w:rsidR="009F23DB">
        <w:rPr>
          <w:rFonts w:cstheme="minorHAnsi"/>
          <w:sz w:val="22"/>
          <w:lang w:val="en-US"/>
        </w:rPr>
        <w:t xml:space="preserve"> </w:t>
      </w:r>
    </w:p>
    <w:p w14:paraId="2918E4B6" w14:textId="77777777" w:rsidR="009F23DB" w:rsidRDefault="009F23DB" w:rsidP="009F23DB">
      <w:pPr>
        <w:jc w:val="both"/>
        <w:rPr>
          <w:rFonts w:cstheme="minorHAnsi"/>
          <w:sz w:val="22"/>
          <w:lang w:val="en-US"/>
        </w:rPr>
      </w:pPr>
      <w:r w:rsidRPr="009F23DB">
        <w:rPr>
          <w:rFonts w:cstheme="minorHAnsi"/>
          <w:i/>
          <w:sz w:val="22"/>
          <w:lang w:val="en-US"/>
        </w:rPr>
        <w:t>P</w:t>
      </w:r>
      <w:r w:rsidR="00336AF2" w:rsidRPr="00E33A96">
        <w:rPr>
          <w:rFonts w:cstheme="minorHAnsi"/>
          <w:i/>
          <w:sz w:val="22"/>
          <w:lang w:val="en-US"/>
        </w:rPr>
        <w:t>rotected social areas</w:t>
      </w:r>
      <w:r w:rsidR="00E33A96">
        <w:rPr>
          <w:rFonts w:cstheme="minorHAnsi"/>
          <w:sz w:val="22"/>
          <w:lang w:val="en-US"/>
        </w:rPr>
        <w:t xml:space="preserve">: </w:t>
      </w:r>
      <w:r w:rsidR="002533D1">
        <w:rPr>
          <w:rFonts w:cstheme="minorHAnsi"/>
          <w:sz w:val="22"/>
          <w:lang w:val="en-US"/>
        </w:rPr>
        <w:t>include</w:t>
      </w:r>
      <w:r w:rsidR="00E33A96">
        <w:rPr>
          <w:rFonts w:cstheme="minorHAnsi"/>
          <w:sz w:val="22"/>
          <w:lang w:val="en-US"/>
        </w:rPr>
        <w:t xml:space="preserve"> Accommodation (housing), c</w:t>
      </w:r>
      <w:r w:rsidR="00336AF2" w:rsidRPr="002533D1">
        <w:rPr>
          <w:rFonts w:cstheme="minorHAnsi"/>
          <w:sz w:val="22"/>
          <w:lang w:val="en-US"/>
        </w:rPr>
        <w:t>ontracts</w:t>
      </w:r>
      <w:r w:rsidR="00E33A96">
        <w:rPr>
          <w:rFonts w:cstheme="minorHAnsi"/>
          <w:sz w:val="22"/>
          <w:lang w:val="en-US"/>
        </w:rPr>
        <w:t>, e</w:t>
      </w:r>
      <w:r w:rsidR="00336AF2" w:rsidRPr="002533D1">
        <w:rPr>
          <w:rFonts w:cstheme="minorHAnsi"/>
          <w:sz w:val="22"/>
          <w:lang w:val="en-US"/>
        </w:rPr>
        <w:t>mployment</w:t>
      </w:r>
      <w:r w:rsidR="00E33A96">
        <w:rPr>
          <w:rFonts w:cstheme="minorHAnsi"/>
          <w:sz w:val="22"/>
          <w:lang w:val="en-US"/>
        </w:rPr>
        <w:t xml:space="preserve"> and g</w:t>
      </w:r>
      <w:r w:rsidR="00336AF2" w:rsidRPr="002533D1">
        <w:rPr>
          <w:rFonts w:cstheme="minorHAnsi"/>
          <w:sz w:val="22"/>
          <w:lang w:val="en-US"/>
        </w:rPr>
        <w:t>oods, services and facilities</w:t>
      </w:r>
      <w:r w:rsidR="00E33A96">
        <w:rPr>
          <w:rFonts w:cstheme="minorHAnsi"/>
          <w:sz w:val="22"/>
          <w:lang w:val="en-US"/>
        </w:rPr>
        <w:t xml:space="preserve">.  </w:t>
      </w:r>
    </w:p>
    <w:p w14:paraId="3B0AD576" w14:textId="77777777" w:rsidR="00336AF2" w:rsidRDefault="00336AF2" w:rsidP="009F23DB">
      <w:pPr>
        <w:jc w:val="both"/>
        <w:rPr>
          <w:rFonts w:cstheme="minorHAnsi"/>
          <w:sz w:val="22"/>
          <w:lang w:val="en-US"/>
        </w:rPr>
      </w:pPr>
      <w:r w:rsidRPr="00E33A96">
        <w:rPr>
          <w:rFonts w:cstheme="minorHAnsi"/>
          <w:i/>
          <w:sz w:val="22"/>
          <w:lang w:val="en-US"/>
        </w:rPr>
        <w:t>P</w:t>
      </w:r>
      <w:r w:rsidR="00E33A96" w:rsidRPr="00E33A96">
        <w:rPr>
          <w:rFonts w:cstheme="minorHAnsi"/>
          <w:i/>
          <w:sz w:val="22"/>
          <w:lang w:val="en-US"/>
        </w:rPr>
        <w:t>rotected grounds</w:t>
      </w:r>
      <w:r w:rsidRPr="00336AF2">
        <w:rPr>
          <w:rFonts w:cstheme="minorHAnsi"/>
          <w:sz w:val="22"/>
          <w:lang w:val="en-US"/>
        </w:rPr>
        <w:t>:</w:t>
      </w:r>
      <w:r w:rsidR="00E33A96">
        <w:rPr>
          <w:rFonts w:cstheme="minorHAnsi"/>
          <w:sz w:val="22"/>
          <w:lang w:val="en-US"/>
        </w:rPr>
        <w:t xml:space="preserve"> a</w:t>
      </w:r>
      <w:r w:rsidRPr="00336AF2">
        <w:rPr>
          <w:rFonts w:cstheme="minorHAnsi"/>
          <w:sz w:val="22"/>
          <w:lang w:val="en-US"/>
        </w:rPr>
        <w:t>ge</w:t>
      </w:r>
      <w:r w:rsidR="00E33A96">
        <w:rPr>
          <w:rFonts w:cstheme="minorHAnsi"/>
          <w:sz w:val="22"/>
          <w:lang w:val="en-US"/>
        </w:rPr>
        <w:t>, a</w:t>
      </w:r>
      <w:r w:rsidRPr="00336AF2">
        <w:rPr>
          <w:rFonts w:cstheme="minorHAnsi"/>
          <w:sz w:val="22"/>
          <w:lang w:val="en-US"/>
        </w:rPr>
        <w:t xml:space="preserve">ncestry, </w:t>
      </w:r>
      <w:proofErr w:type="spellStart"/>
      <w:r w:rsidRPr="00336AF2">
        <w:rPr>
          <w:rFonts w:cstheme="minorHAnsi"/>
          <w:sz w:val="22"/>
          <w:lang w:val="en-US"/>
        </w:rPr>
        <w:t>colour</w:t>
      </w:r>
      <w:proofErr w:type="spellEnd"/>
      <w:r w:rsidRPr="00336AF2">
        <w:rPr>
          <w:rFonts w:cstheme="minorHAnsi"/>
          <w:sz w:val="22"/>
          <w:lang w:val="en-US"/>
        </w:rPr>
        <w:t>, race</w:t>
      </w:r>
      <w:r w:rsidR="00E33A96">
        <w:rPr>
          <w:rFonts w:cstheme="minorHAnsi"/>
          <w:sz w:val="22"/>
          <w:lang w:val="en-US"/>
        </w:rPr>
        <w:t>, c</w:t>
      </w:r>
      <w:r w:rsidRPr="00336AF2">
        <w:rPr>
          <w:rFonts w:cstheme="minorHAnsi"/>
          <w:sz w:val="22"/>
          <w:lang w:val="en-US"/>
        </w:rPr>
        <w:t>itizenship</w:t>
      </w:r>
      <w:r w:rsidR="00E33A96">
        <w:rPr>
          <w:rFonts w:cstheme="minorHAnsi"/>
          <w:sz w:val="22"/>
          <w:lang w:val="en-US"/>
        </w:rPr>
        <w:t>, e</w:t>
      </w:r>
      <w:r w:rsidRPr="00336AF2">
        <w:rPr>
          <w:rFonts w:cstheme="minorHAnsi"/>
          <w:sz w:val="22"/>
          <w:lang w:val="en-US"/>
        </w:rPr>
        <w:t>thnic origin</w:t>
      </w:r>
      <w:r w:rsidR="00E33A96">
        <w:rPr>
          <w:rFonts w:cstheme="minorHAnsi"/>
          <w:sz w:val="22"/>
          <w:lang w:val="en-US"/>
        </w:rPr>
        <w:t>, p</w:t>
      </w:r>
      <w:r w:rsidRPr="00336AF2">
        <w:rPr>
          <w:rFonts w:cstheme="minorHAnsi"/>
          <w:sz w:val="22"/>
          <w:lang w:val="en-US"/>
        </w:rPr>
        <w:t>lace of origin</w:t>
      </w:r>
      <w:r w:rsidR="00E33A96">
        <w:rPr>
          <w:rFonts w:cstheme="minorHAnsi"/>
          <w:sz w:val="22"/>
          <w:lang w:val="en-US"/>
        </w:rPr>
        <w:t>, c</w:t>
      </w:r>
      <w:r w:rsidRPr="00336AF2">
        <w:rPr>
          <w:rFonts w:cstheme="minorHAnsi"/>
          <w:sz w:val="22"/>
          <w:lang w:val="en-US"/>
        </w:rPr>
        <w:t>reed</w:t>
      </w:r>
      <w:r w:rsidR="00E33A96">
        <w:rPr>
          <w:rFonts w:cstheme="minorHAnsi"/>
          <w:sz w:val="22"/>
          <w:lang w:val="en-US"/>
        </w:rPr>
        <w:t>, d</w:t>
      </w:r>
      <w:r w:rsidRPr="00336AF2">
        <w:rPr>
          <w:rFonts w:cstheme="minorHAnsi"/>
          <w:sz w:val="22"/>
          <w:lang w:val="en-US"/>
        </w:rPr>
        <w:t>isability</w:t>
      </w:r>
      <w:r w:rsidR="00E33A96">
        <w:rPr>
          <w:rFonts w:cstheme="minorHAnsi"/>
          <w:sz w:val="22"/>
          <w:lang w:val="en-US"/>
        </w:rPr>
        <w:t>, f</w:t>
      </w:r>
      <w:r w:rsidRPr="00336AF2">
        <w:rPr>
          <w:rFonts w:cstheme="minorHAnsi"/>
          <w:sz w:val="22"/>
          <w:lang w:val="en-US"/>
        </w:rPr>
        <w:t>amily status</w:t>
      </w:r>
      <w:r w:rsidR="00E33A96">
        <w:rPr>
          <w:rFonts w:cstheme="minorHAnsi"/>
          <w:sz w:val="22"/>
          <w:lang w:val="en-US"/>
        </w:rPr>
        <w:t>, marital status, g</w:t>
      </w:r>
      <w:r w:rsidRPr="00336AF2">
        <w:rPr>
          <w:rFonts w:cstheme="minorHAnsi"/>
          <w:sz w:val="22"/>
          <w:lang w:val="en-US"/>
        </w:rPr>
        <w:t>ender identity, gender expression</w:t>
      </w:r>
      <w:r w:rsidR="00E33A96">
        <w:rPr>
          <w:rFonts w:cstheme="minorHAnsi"/>
          <w:sz w:val="22"/>
          <w:lang w:val="en-US"/>
        </w:rPr>
        <w:t>, r</w:t>
      </w:r>
      <w:r w:rsidRPr="00336AF2">
        <w:rPr>
          <w:rFonts w:cstheme="minorHAnsi"/>
          <w:sz w:val="22"/>
          <w:lang w:val="en-US"/>
        </w:rPr>
        <w:t>eceipt of public assistance (in housing only)</w:t>
      </w:r>
      <w:r w:rsidR="00E33A96">
        <w:rPr>
          <w:rFonts w:cstheme="minorHAnsi"/>
          <w:sz w:val="22"/>
          <w:lang w:val="en-US"/>
        </w:rPr>
        <w:t>, r</w:t>
      </w:r>
      <w:r w:rsidRPr="00336AF2">
        <w:rPr>
          <w:rFonts w:cstheme="minorHAnsi"/>
          <w:sz w:val="22"/>
          <w:lang w:val="en-US"/>
        </w:rPr>
        <w:t>ecord of offences (in employment only)</w:t>
      </w:r>
      <w:r w:rsidR="00E33A96">
        <w:rPr>
          <w:rFonts w:cstheme="minorHAnsi"/>
          <w:sz w:val="22"/>
          <w:lang w:val="en-US"/>
        </w:rPr>
        <w:t>, s</w:t>
      </w:r>
      <w:r w:rsidRPr="00336AF2">
        <w:rPr>
          <w:rFonts w:cstheme="minorHAnsi"/>
          <w:sz w:val="22"/>
          <w:lang w:val="en-US"/>
        </w:rPr>
        <w:t>ex (including pregnancy and breastfeeding)</w:t>
      </w:r>
      <w:r w:rsidR="00E33A96">
        <w:rPr>
          <w:rFonts w:cstheme="minorHAnsi"/>
          <w:sz w:val="22"/>
          <w:lang w:val="en-US"/>
        </w:rPr>
        <w:t xml:space="preserve"> and s</w:t>
      </w:r>
      <w:r w:rsidRPr="00336AF2">
        <w:rPr>
          <w:rFonts w:cstheme="minorHAnsi"/>
          <w:sz w:val="22"/>
          <w:lang w:val="en-US"/>
        </w:rPr>
        <w:t>exual orientation.</w:t>
      </w:r>
    </w:p>
    <w:p w14:paraId="29ABE450" w14:textId="77777777" w:rsidR="00336AF2" w:rsidRDefault="00E33A96" w:rsidP="00336AF2">
      <w:pPr>
        <w:rPr>
          <w:rFonts w:cstheme="minorHAnsi"/>
          <w:sz w:val="22"/>
          <w:lang w:val="en-US"/>
        </w:rPr>
      </w:pPr>
      <w:r>
        <w:rPr>
          <w:rFonts w:cstheme="minorHAnsi"/>
          <w:sz w:val="22"/>
          <w:lang w:val="en-US"/>
        </w:rPr>
        <w:t xml:space="preserve">Applications alleging a breach of the </w:t>
      </w:r>
      <w:r w:rsidRPr="00E33A96">
        <w:rPr>
          <w:rFonts w:cstheme="minorHAnsi"/>
          <w:i/>
          <w:sz w:val="22"/>
          <w:lang w:val="en-US"/>
        </w:rPr>
        <w:t>Human Rights Code</w:t>
      </w:r>
      <w:r>
        <w:rPr>
          <w:rFonts w:cstheme="minorHAnsi"/>
          <w:sz w:val="22"/>
          <w:lang w:val="en-US"/>
        </w:rPr>
        <w:t xml:space="preserve"> </w:t>
      </w:r>
      <w:r w:rsidR="00655DD4">
        <w:rPr>
          <w:rFonts w:cstheme="minorHAnsi"/>
          <w:sz w:val="22"/>
          <w:lang w:val="en-US"/>
        </w:rPr>
        <w:t xml:space="preserve">can </w:t>
      </w:r>
      <w:r>
        <w:rPr>
          <w:rFonts w:cstheme="minorHAnsi"/>
          <w:sz w:val="22"/>
          <w:lang w:val="en-US"/>
        </w:rPr>
        <w:t xml:space="preserve">be filed with the Human Rights Tribunal of Ontario at </w:t>
      </w:r>
      <w:hyperlink r:id="rId14" w:history="1">
        <w:r w:rsidRPr="00E622C6">
          <w:rPr>
            <w:rStyle w:val="Hyperlink"/>
            <w:rFonts w:cstheme="minorHAnsi"/>
            <w:sz w:val="22"/>
            <w:lang w:val="en-US"/>
          </w:rPr>
          <w:t>http://www.sjto.gov.on.ca/hrto/</w:t>
        </w:r>
      </w:hyperlink>
    </w:p>
    <w:p w14:paraId="42629FBD" w14:textId="77777777" w:rsidR="00667F2A" w:rsidRPr="00667F2A" w:rsidRDefault="00667F2A" w:rsidP="00667F2A">
      <w:pPr>
        <w:rPr>
          <w:rFonts w:cstheme="minorHAnsi"/>
          <w:b/>
          <w:sz w:val="22"/>
          <w:lang w:val="en-US"/>
        </w:rPr>
      </w:pPr>
      <w:r w:rsidRPr="00667F2A">
        <w:rPr>
          <w:rFonts w:cstheme="minorHAnsi"/>
          <w:b/>
          <w:sz w:val="22"/>
          <w:lang w:val="en-US"/>
        </w:rPr>
        <w:t>Law Society Referral Service</w:t>
      </w:r>
    </w:p>
    <w:p w14:paraId="5C96E4DC" w14:textId="77777777" w:rsidR="00E33A96" w:rsidRDefault="009C38A5" w:rsidP="00336AF2">
      <w:pPr>
        <w:rPr>
          <w:rFonts w:cstheme="minorHAnsi"/>
          <w:sz w:val="22"/>
          <w:lang w:val="en-US"/>
        </w:rPr>
      </w:pPr>
      <w:hyperlink r:id="rId15" w:history="1">
        <w:r w:rsidR="00667F2A" w:rsidRPr="00E622C6">
          <w:rPr>
            <w:rStyle w:val="Hyperlink"/>
            <w:rFonts w:cstheme="minorHAnsi"/>
            <w:sz w:val="22"/>
            <w:lang w:val="en-US"/>
          </w:rPr>
          <w:t>https://lso.ca/public-resources/finding-a-lawyer-or-paralegal/law-society-referral-service</w:t>
        </w:r>
      </w:hyperlink>
    </w:p>
    <w:p w14:paraId="23D6A58A" w14:textId="77777777" w:rsidR="00667F2A" w:rsidRDefault="00667F2A" w:rsidP="003B2C98">
      <w:pPr>
        <w:jc w:val="both"/>
        <w:rPr>
          <w:rFonts w:cstheme="minorHAnsi"/>
          <w:sz w:val="22"/>
          <w:lang w:val="en-US"/>
        </w:rPr>
      </w:pPr>
      <w:r>
        <w:rPr>
          <w:rFonts w:cstheme="minorHAnsi"/>
          <w:sz w:val="22"/>
          <w:lang w:val="en-US"/>
        </w:rPr>
        <w:t>A lawyer or paralegal referral service is available through the Law Society</w:t>
      </w:r>
      <w:r w:rsidR="00655DD4">
        <w:rPr>
          <w:rFonts w:cstheme="minorHAnsi"/>
          <w:sz w:val="22"/>
          <w:lang w:val="en-US"/>
        </w:rPr>
        <w:t>’s website</w:t>
      </w:r>
      <w:r>
        <w:rPr>
          <w:rFonts w:cstheme="minorHAnsi"/>
          <w:sz w:val="22"/>
          <w:lang w:val="en-US"/>
        </w:rPr>
        <w:t>.  If a request is made online through the website and a match is available, the name of a lawyer or paralegal will be provided with a free con</w:t>
      </w:r>
      <w:r w:rsidR="00655DD4">
        <w:rPr>
          <w:rFonts w:cstheme="minorHAnsi"/>
          <w:sz w:val="22"/>
          <w:lang w:val="en-US"/>
        </w:rPr>
        <w:t>sultation of up to 30 minutes. Additional costs would then apply.</w:t>
      </w:r>
    </w:p>
    <w:p w14:paraId="7C995BE5" w14:textId="77777777" w:rsidR="00655DD4" w:rsidRPr="00655DD4" w:rsidRDefault="00655DD4" w:rsidP="00336AF2">
      <w:pPr>
        <w:rPr>
          <w:rFonts w:cstheme="minorHAnsi"/>
          <w:b/>
          <w:sz w:val="22"/>
          <w:lang w:val="en-US"/>
        </w:rPr>
      </w:pPr>
      <w:r w:rsidRPr="00655DD4">
        <w:rPr>
          <w:rFonts w:cstheme="minorHAnsi"/>
          <w:b/>
          <w:sz w:val="22"/>
          <w:lang w:val="en-US"/>
        </w:rPr>
        <w:t>Legal Aid Ontario</w:t>
      </w:r>
    </w:p>
    <w:p w14:paraId="22676C4F" w14:textId="77777777" w:rsidR="00655DD4" w:rsidRDefault="009C38A5" w:rsidP="00336AF2">
      <w:pPr>
        <w:rPr>
          <w:rFonts w:cstheme="minorHAnsi"/>
          <w:sz w:val="22"/>
          <w:lang w:val="en-US"/>
        </w:rPr>
      </w:pPr>
      <w:hyperlink r:id="rId16" w:history="1">
        <w:r w:rsidR="00655DD4" w:rsidRPr="00E622C6">
          <w:rPr>
            <w:rStyle w:val="Hyperlink"/>
            <w:rFonts w:cstheme="minorHAnsi"/>
            <w:sz w:val="22"/>
            <w:lang w:val="en-US"/>
          </w:rPr>
          <w:t>https://www.legalaid.on.ca/en/</w:t>
        </w:r>
      </w:hyperlink>
      <w:r w:rsidR="00655DD4">
        <w:rPr>
          <w:rFonts w:cstheme="minorHAnsi"/>
          <w:sz w:val="22"/>
          <w:lang w:val="en-US"/>
        </w:rPr>
        <w:t xml:space="preserve"> </w:t>
      </w:r>
    </w:p>
    <w:p w14:paraId="74B2DFF3" w14:textId="77777777" w:rsidR="00655DD4" w:rsidRDefault="00655DD4" w:rsidP="00336AF2">
      <w:pPr>
        <w:rPr>
          <w:rFonts w:cstheme="minorHAnsi"/>
          <w:sz w:val="22"/>
          <w:lang w:val="en-US"/>
        </w:rPr>
      </w:pPr>
      <w:r>
        <w:rPr>
          <w:rFonts w:cstheme="minorHAnsi"/>
          <w:sz w:val="22"/>
          <w:lang w:val="en-US"/>
        </w:rPr>
        <w:t>Legal Aid Ontario provides programs and services to lower-income individuals who require legal aid.  There is financial eligibility to qualify for these services in one of the areas covered by Legal Aid Ontario.  Phone: 1-800-668-8258</w:t>
      </w:r>
    </w:p>
    <w:p w14:paraId="0D465189" w14:textId="77777777" w:rsidR="00F15E72" w:rsidRPr="009F23DB" w:rsidRDefault="00F15E72" w:rsidP="00F15E72">
      <w:pPr>
        <w:jc w:val="both"/>
        <w:rPr>
          <w:rFonts w:cstheme="minorHAnsi"/>
          <w:i/>
          <w:sz w:val="22"/>
          <w:lang w:val="en-US"/>
        </w:rPr>
      </w:pPr>
      <w:r w:rsidRPr="00F15E72">
        <w:rPr>
          <w:rFonts w:cstheme="minorHAnsi"/>
          <w:i/>
          <w:sz w:val="22"/>
          <w:lang w:val="en-US"/>
        </w:rPr>
        <w:t>Note:</w:t>
      </w:r>
      <w:r>
        <w:rPr>
          <w:rFonts w:cstheme="minorHAnsi"/>
          <w:sz w:val="22"/>
          <w:lang w:val="en-US"/>
        </w:rPr>
        <w:t xml:space="preserve"> </w:t>
      </w:r>
      <w:r w:rsidRPr="009F23DB">
        <w:rPr>
          <w:rFonts w:cstheme="minorHAnsi"/>
          <w:i/>
          <w:sz w:val="22"/>
          <w:lang w:val="en-US"/>
        </w:rPr>
        <w:t xml:space="preserve">the information contained in this </w:t>
      </w:r>
      <w:r w:rsidR="00655DD4" w:rsidRPr="009F23DB">
        <w:rPr>
          <w:rFonts w:cstheme="minorHAnsi"/>
          <w:i/>
          <w:sz w:val="22"/>
          <w:lang w:val="en-US"/>
        </w:rPr>
        <w:t>Legal Services Guide</w:t>
      </w:r>
      <w:r w:rsidRPr="009F23DB">
        <w:rPr>
          <w:rFonts w:cstheme="minorHAnsi"/>
          <w:i/>
          <w:sz w:val="22"/>
          <w:lang w:val="en-US"/>
        </w:rPr>
        <w:t xml:space="preserve"> does not constitute legal advice and i</w:t>
      </w:r>
      <w:r w:rsidR="009F23DB">
        <w:rPr>
          <w:rFonts w:cstheme="minorHAnsi"/>
          <w:i/>
          <w:sz w:val="22"/>
          <w:lang w:val="en-US"/>
        </w:rPr>
        <w:t xml:space="preserve">s for reference purposes only. </w:t>
      </w:r>
      <w:r w:rsidRPr="009F23DB">
        <w:rPr>
          <w:rFonts w:cstheme="minorHAnsi"/>
          <w:i/>
          <w:sz w:val="22"/>
          <w:lang w:val="en-US"/>
        </w:rPr>
        <w:t xml:space="preserve">The information on the websites listed above may be subject to change and it is recommended that the specific websites should be relied on for the most up to date information.  </w:t>
      </w:r>
    </w:p>
    <w:sectPr w:rsidR="00F15E72" w:rsidRPr="009F23DB" w:rsidSect="00667F2A">
      <w:headerReference w:type="default" r:id="rId17"/>
      <w:footerReference w:type="default" r:id="rId18"/>
      <w:pgSz w:w="12240" w:h="15840"/>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214F4E" w14:textId="77777777" w:rsidR="009C38A5" w:rsidRDefault="009C38A5" w:rsidP="009E6D48">
      <w:pPr>
        <w:spacing w:after="0" w:line="240" w:lineRule="auto"/>
      </w:pPr>
      <w:r>
        <w:separator/>
      </w:r>
    </w:p>
  </w:endnote>
  <w:endnote w:type="continuationSeparator" w:id="0">
    <w:p w14:paraId="47368416" w14:textId="77777777" w:rsidR="009C38A5" w:rsidRDefault="009C38A5" w:rsidP="009E6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9301246"/>
      <w:docPartObj>
        <w:docPartGallery w:val="Page Numbers (Bottom of Page)"/>
        <w:docPartUnique/>
      </w:docPartObj>
    </w:sdtPr>
    <w:sdtEndPr>
      <w:rPr>
        <w:noProof/>
      </w:rPr>
    </w:sdtEndPr>
    <w:sdtContent>
      <w:p w14:paraId="5F090DCC" w14:textId="77777777" w:rsidR="009E6D48" w:rsidRDefault="009E6D48">
        <w:pPr>
          <w:pStyle w:val="Footer"/>
          <w:jc w:val="center"/>
        </w:pPr>
        <w:r>
          <w:fldChar w:fldCharType="begin"/>
        </w:r>
        <w:r>
          <w:instrText xml:space="preserve"> PAGE   \* MERGEFORMAT </w:instrText>
        </w:r>
        <w:r>
          <w:fldChar w:fldCharType="separate"/>
        </w:r>
        <w:r w:rsidR="009F23DB">
          <w:rPr>
            <w:noProof/>
          </w:rPr>
          <w:t>1</w:t>
        </w:r>
        <w:r>
          <w:rPr>
            <w:noProof/>
          </w:rPr>
          <w:fldChar w:fldCharType="end"/>
        </w:r>
      </w:p>
    </w:sdtContent>
  </w:sdt>
  <w:p w14:paraId="79633BCC" w14:textId="77777777" w:rsidR="009E6D48" w:rsidRDefault="009E6D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F43332" w14:textId="77777777" w:rsidR="009C38A5" w:rsidRDefault="009C38A5" w:rsidP="009E6D48">
      <w:pPr>
        <w:spacing w:after="0" w:line="240" w:lineRule="auto"/>
      </w:pPr>
      <w:r>
        <w:separator/>
      </w:r>
    </w:p>
  </w:footnote>
  <w:footnote w:type="continuationSeparator" w:id="0">
    <w:p w14:paraId="4E78F1C8" w14:textId="77777777" w:rsidR="009C38A5" w:rsidRDefault="009C38A5" w:rsidP="009E6D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4B001" w14:textId="77777777" w:rsidR="0051421D" w:rsidRDefault="0051421D">
    <w:pPr>
      <w:pStyle w:val="Header"/>
    </w:pPr>
    <w:r>
      <w:rPr>
        <w:noProof/>
        <w:lang w:eastAsia="en-CA"/>
      </w:rPr>
      <w:drawing>
        <wp:anchor distT="0" distB="0" distL="114300" distR="114300" simplePos="0" relativeHeight="251658240" behindDoc="1" locked="0" layoutInCell="1" allowOverlap="1" wp14:anchorId="70323A22" wp14:editId="51ED1F64">
          <wp:simplePos x="0" y="0"/>
          <wp:positionH relativeFrom="margin">
            <wp:align>left</wp:align>
          </wp:positionH>
          <wp:positionV relativeFrom="paragraph">
            <wp:posOffset>0</wp:posOffset>
          </wp:positionV>
          <wp:extent cx="1074420" cy="434340"/>
          <wp:effectExtent l="0" t="0" r="0" b="3810"/>
          <wp:wrapThrough wrapText="bothSides">
            <wp:wrapPolygon edited="0">
              <wp:start x="0" y="0"/>
              <wp:lineTo x="0" y="20842"/>
              <wp:lineTo x="21064" y="20842"/>
              <wp:lineTo x="21064" y="0"/>
              <wp:lineTo x="0" y="0"/>
            </wp:wrapPolygon>
          </wp:wrapThrough>
          <wp:docPr id="2" name="Picture 2" descr="full_colour-mcma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ull_colour-mcmas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4420" cy="4343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42882"/>
    <w:multiLevelType w:val="hybridMultilevel"/>
    <w:tmpl w:val="A0D0FE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AC12FA9"/>
    <w:multiLevelType w:val="hybridMultilevel"/>
    <w:tmpl w:val="686090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B84455F"/>
    <w:multiLevelType w:val="hybridMultilevel"/>
    <w:tmpl w:val="0C1E44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95E0717"/>
    <w:multiLevelType w:val="hybridMultilevel"/>
    <w:tmpl w:val="4E6CF0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2846121"/>
    <w:multiLevelType w:val="hybridMultilevel"/>
    <w:tmpl w:val="612A074E"/>
    <w:lvl w:ilvl="0" w:tplc="E73682C0">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73358DF"/>
    <w:multiLevelType w:val="hybridMultilevel"/>
    <w:tmpl w:val="E89A1828"/>
    <w:lvl w:ilvl="0" w:tplc="09FC50D2">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AA8"/>
    <w:rsid w:val="00017BAE"/>
    <w:rsid w:val="000968F7"/>
    <w:rsid w:val="00160135"/>
    <w:rsid w:val="00191383"/>
    <w:rsid w:val="001F77A8"/>
    <w:rsid w:val="00240F83"/>
    <w:rsid w:val="00241EE5"/>
    <w:rsid w:val="002533D1"/>
    <w:rsid w:val="00336AF2"/>
    <w:rsid w:val="00354C5A"/>
    <w:rsid w:val="003B2C98"/>
    <w:rsid w:val="003C5EE3"/>
    <w:rsid w:val="00420064"/>
    <w:rsid w:val="004D3686"/>
    <w:rsid w:val="004D3AA4"/>
    <w:rsid w:val="0051421D"/>
    <w:rsid w:val="00595547"/>
    <w:rsid w:val="005B4370"/>
    <w:rsid w:val="00655DD4"/>
    <w:rsid w:val="00667F2A"/>
    <w:rsid w:val="00770282"/>
    <w:rsid w:val="007E7913"/>
    <w:rsid w:val="007F0A4B"/>
    <w:rsid w:val="008B738C"/>
    <w:rsid w:val="00915394"/>
    <w:rsid w:val="009C38A5"/>
    <w:rsid w:val="009E6D48"/>
    <w:rsid w:val="009F23DB"/>
    <w:rsid w:val="00A05AA8"/>
    <w:rsid w:val="00A15103"/>
    <w:rsid w:val="00A56A1F"/>
    <w:rsid w:val="00AE3E98"/>
    <w:rsid w:val="00B93629"/>
    <w:rsid w:val="00C03814"/>
    <w:rsid w:val="00C97BE2"/>
    <w:rsid w:val="00CF2BB3"/>
    <w:rsid w:val="00DE4A62"/>
    <w:rsid w:val="00E33A96"/>
    <w:rsid w:val="00ED25F8"/>
    <w:rsid w:val="00ED3F27"/>
    <w:rsid w:val="00F05851"/>
    <w:rsid w:val="00F15E72"/>
    <w:rsid w:val="00F26E84"/>
    <w:rsid w:val="00F8653C"/>
    <w:rsid w:val="00FA33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71EA67"/>
  <w15:chartTrackingRefBased/>
  <w15:docId w15:val="{8D3AD01E-28AF-47E9-9BA6-91C2A4BC1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038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4A62"/>
    <w:pPr>
      <w:ind w:left="720"/>
      <w:contextualSpacing/>
    </w:pPr>
  </w:style>
  <w:style w:type="character" w:styleId="Hyperlink">
    <w:name w:val="Hyperlink"/>
    <w:basedOn w:val="DefaultParagraphFont"/>
    <w:uiPriority w:val="99"/>
    <w:unhideWhenUsed/>
    <w:rsid w:val="008B738C"/>
    <w:rPr>
      <w:color w:val="0563C1" w:themeColor="hyperlink"/>
      <w:u w:val="single"/>
    </w:rPr>
  </w:style>
  <w:style w:type="paragraph" w:styleId="Header">
    <w:name w:val="header"/>
    <w:basedOn w:val="Normal"/>
    <w:link w:val="HeaderChar"/>
    <w:uiPriority w:val="99"/>
    <w:unhideWhenUsed/>
    <w:rsid w:val="009E6D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6D48"/>
  </w:style>
  <w:style w:type="paragraph" w:styleId="Footer">
    <w:name w:val="footer"/>
    <w:basedOn w:val="Normal"/>
    <w:link w:val="FooterChar"/>
    <w:uiPriority w:val="99"/>
    <w:unhideWhenUsed/>
    <w:rsid w:val="009E6D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6D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cmaster.ca/policy/index.html" TargetMode="External"/><Relationship Id="rId13" Type="http://schemas.openxmlformats.org/officeDocument/2006/relationships/hyperlink" Target="http://ohrc.on.ca/en"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abour.gov.on.ca/english/h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legalaid.on.ca/e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bour.gov.on.ca/english/es/index.php" TargetMode="External"/><Relationship Id="rId5" Type="http://schemas.openxmlformats.org/officeDocument/2006/relationships/webSettings" Target="webSettings.xml"/><Relationship Id="rId15" Type="http://schemas.openxmlformats.org/officeDocument/2006/relationships/hyperlink" Target="https://lso.ca/public-resources/finding-a-lawyer-or-paralegal/law-society-referral-service" TargetMode="External"/><Relationship Id="rId10" Type="http://schemas.openxmlformats.org/officeDocument/2006/relationships/hyperlink" Target="http://www.sjto.gov.on.ca/ltb/contac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hamiltonjustice.ca/index2" TargetMode="External"/><Relationship Id="rId14" Type="http://schemas.openxmlformats.org/officeDocument/2006/relationships/hyperlink" Target="http://www.sjto.gov.on.ca/hrt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8E8E4D-9F27-4500-8F61-62A72DFF7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854</Words>
  <Characters>4868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Burkett</dc:creator>
  <cp:keywords/>
  <dc:description/>
  <cp:lastModifiedBy>OLSadmin</cp:lastModifiedBy>
  <cp:revision>4</cp:revision>
  <dcterms:created xsi:type="dcterms:W3CDTF">2019-07-11T17:45:00Z</dcterms:created>
  <dcterms:modified xsi:type="dcterms:W3CDTF">2019-09-27T18:59:00Z</dcterms:modified>
</cp:coreProperties>
</file>